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59" w:rsidRPr="00820959" w:rsidRDefault="00820959" w:rsidP="00FD5849">
      <w:pPr>
        <w:pStyle w:val="Nadpis1"/>
        <w:spacing w:before="120" w:after="12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AC792E6" wp14:editId="355B6BE1">
            <wp:simplePos x="0" y="0"/>
            <wp:positionH relativeFrom="margin">
              <wp:posOffset>66675</wp:posOffset>
            </wp:positionH>
            <wp:positionV relativeFrom="margin">
              <wp:posOffset>-352425</wp:posOffset>
            </wp:positionV>
            <wp:extent cx="1419225" cy="609600"/>
            <wp:effectExtent l="0" t="0" r="9525" b="0"/>
            <wp:wrapSquare wrapText="bothSides"/>
            <wp:docPr id="2" name="Obrázek 2" descr="Logo 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T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849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r w:rsidR="00D10A87">
        <w:rPr>
          <w:rFonts w:ascii="Arial" w:hAnsi="Arial" w:cs="Arial"/>
          <w:color w:val="000000" w:themeColor="text1"/>
          <w:sz w:val="20"/>
          <w:szCs w:val="20"/>
        </w:rPr>
        <w:t>Tisková zpráva ze dne 10</w:t>
      </w:r>
      <w:r w:rsidRPr="00820959">
        <w:rPr>
          <w:rFonts w:ascii="Arial" w:hAnsi="Arial" w:cs="Arial"/>
          <w:color w:val="000000" w:themeColor="text1"/>
          <w:sz w:val="20"/>
          <w:szCs w:val="20"/>
        </w:rPr>
        <w:t>. 8. 2018</w:t>
      </w:r>
    </w:p>
    <w:p w:rsidR="00F81DF4" w:rsidRDefault="00F81DF4" w:rsidP="00F81DF4">
      <w:pPr>
        <w:pStyle w:val="Bezmezer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0959" w:rsidRPr="00F81DF4" w:rsidRDefault="00F81DF4" w:rsidP="00F81DF4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1DF4">
        <w:rPr>
          <w:rFonts w:ascii="Arial" w:hAnsi="Arial" w:cs="Arial"/>
          <w:b/>
          <w:bCs/>
          <w:sz w:val="28"/>
          <w:szCs w:val="28"/>
        </w:rPr>
        <w:t>Kdyby tisíc flašinetů</w:t>
      </w:r>
    </w:p>
    <w:p w:rsidR="00820959" w:rsidRDefault="00820959" w:rsidP="00820959">
      <w:pPr>
        <w:pStyle w:val="Bezmezer"/>
        <w:spacing w:line="276" w:lineRule="auto"/>
        <w:rPr>
          <w:rFonts w:ascii="Arial" w:hAnsi="Arial" w:cs="Arial"/>
          <w:b/>
          <w:sz w:val="26"/>
          <w:szCs w:val="26"/>
        </w:rPr>
      </w:pPr>
    </w:p>
    <w:p w:rsidR="00820959" w:rsidRPr="005A06C3" w:rsidRDefault="00F81DF4" w:rsidP="00F81DF4">
      <w:pPr>
        <w:pStyle w:val="Bezmezer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5A06C3">
        <w:rPr>
          <w:rFonts w:ascii="Arial" w:hAnsi="Arial" w:cs="Arial"/>
          <w:sz w:val="26"/>
          <w:szCs w:val="26"/>
        </w:rPr>
        <w:t>Účastníci setkání</w:t>
      </w:r>
      <w:r w:rsidR="00820959" w:rsidRPr="005A06C3">
        <w:rPr>
          <w:rFonts w:ascii="Arial" w:hAnsi="Arial" w:cs="Arial"/>
          <w:sz w:val="26"/>
          <w:szCs w:val="26"/>
        </w:rPr>
        <w:t xml:space="preserve"> se rozloučí</w:t>
      </w:r>
      <w:r w:rsidRPr="005A06C3">
        <w:rPr>
          <w:rFonts w:ascii="Arial" w:hAnsi="Arial" w:cs="Arial"/>
          <w:sz w:val="26"/>
          <w:szCs w:val="26"/>
        </w:rPr>
        <w:t xml:space="preserve"> s Brnem</w:t>
      </w:r>
      <w:r w:rsidR="00820959" w:rsidRPr="005A06C3">
        <w:rPr>
          <w:rFonts w:ascii="Arial" w:hAnsi="Arial" w:cs="Arial"/>
          <w:sz w:val="26"/>
          <w:szCs w:val="26"/>
        </w:rPr>
        <w:t xml:space="preserve"> </w:t>
      </w:r>
      <w:r w:rsidR="009821C6">
        <w:rPr>
          <w:rFonts w:ascii="Arial" w:hAnsi="Arial" w:cs="Arial"/>
          <w:sz w:val="26"/>
          <w:szCs w:val="26"/>
        </w:rPr>
        <w:t xml:space="preserve">benefičním </w:t>
      </w:r>
      <w:r w:rsidR="00820959" w:rsidRPr="005A06C3">
        <w:rPr>
          <w:rFonts w:ascii="Arial" w:hAnsi="Arial" w:cs="Arial"/>
          <w:sz w:val="26"/>
          <w:szCs w:val="26"/>
        </w:rPr>
        <w:t>koncertem</w:t>
      </w:r>
      <w:r w:rsidR="009821C6">
        <w:rPr>
          <w:rFonts w:ascii="Arial" w:hAnsi="Arial" w:cs="Arial"/>
          <w:sz w:val="26"/>
          <w:szCs w:val="26"/>
        </w:rPr>
        <w:t xml:space="preserve"> </w:t>
      </w:r>
    </w:p>
    <w:p w:rsidR="00820959" w:rsidRDefault="00820959" w:rsidP="00820959">
      <w:pPr>
        <w:pStyle w:val="Bezmezer"/>
        <w:spacing w:line="276" w:lineRule="auto"/>
        <w:rPr>
          <w:rFonts w:ascii="Arial" w:hAnsi="Arial" w:cs="Arial"/>
          <w:b/>
          <w:sz w:val="26"/>
          <w:szCs w:val="26"/>
        </w:rPr>
      </w:pPr>
    </w:p>
    <w:p w:rsidR="00852FAA" w:rsidRDefault="00F81DF4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Benefičním koncertem uzavřou své brněnské setkání s mezinárodní účastí v neděli </w:t>
      </w:r>
      <w:r w:rsidR="00790F67">
        <w:rPr>
          <w:rFonts w:ascii="Arial" w:hAnsi="Arial" w:cs="Arial"/>
          <w:sz w:val="20"/>
          <w:szCs w:val="20"/>
        </w:rPr>
        <w:t xml:space="preserve">v </w:t>
      </w:r>
      <w:r w:rsidRPr="00F81DF4">
        <w:rPr>
          <w:rFonts w:ascii="Arial" w:hAnsi="Arial" w:cs="Arial"/>
          <w:bCs/>
          <w:sz w:val="20"/>
          <w:szCs w:val="20"/>
        </w:rPr>
        <w:t xml:space="preserve">Českobratrském evangelickém chrámě J. A. Komenského (tzv. Červený kostel) </w:t>
      </w:r>
      <w:r>
        <w:rPr>
          <w:rFonts w:ascii="Arial" w:hAnsi="Arial" w:cs="Arial"/>
          <w:sz w:val="20"/>
          <w:szCs w:val="20"/>
        </w:rPr>
        <w:t>na Komenského náměstí flašinetáři. Výtěžek v plné výši věnují účastníci a organizát</w:t>
      </w:r>
      <w:r w:rsidR="00852FAA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– Technické muzeum v Brně – </w:t>
      </w:r>
      <w:r w:rsidR="00852FAA">
        <w:rPr>
          <w:rFonts w:ascii="Arial" w:hAnsi="Arial" w:cs="Arial"/>
          <w:sz w:val="20"/>
          <w:szCs w:val="20"/>
        </w:rPr>
        <w:t xml:space="preserve">Centru podpory lidí s autismem </w:t>
      </w:r>
      <w:proofErr w:type="spellStart"/>
      <w:proofErr w:type="gramStart"/>
      <w:r w:rsidR="00852FAA">
        <w:rPr>
          <w:rFonts w:ascii="Arial" w:hAnsi="Arial" w:cs="Arial"/>
          <w:sz w:val="20"/>
          <w:szCs w:val="20"/>
        </w:rPr>
        <w:t>Paspoint</w:t>
      </w:r>
      <w:proofErr w:type="spellEnd"/>
      <w:r w:rsidR="00852FAA">
        <w:rPr>
          <w:rFonts w:ascii="Arial" w:hAnsi="Arial" w:cs="Arial"/>
          <w:sz w:val="20"/>
          <w:szCs w:val="20"/>
        </w:rPr>
        <w:t xml:space="preserve">, z. </w:t>
      </w:r>
      <w:proofErr w:type="spellStart"/>
      <w:r w:rsidR="00852FAA">
        <w:rPr>
          <w:rFonts w:ascii="Arial" w:hAnsi="Arial" w:cs="Arial"/>
          <w:sz w:val="20"/>
          <w:szCs w:val="20"/>
        </w:rPr>
        <w:t>ú.</w:t>
      </w:r>
      <w:proofErr w:type="spellEnd"/>
      <w:proofErr w:type="gramEnd"/>
      <w:r w:rsidR="00FD5849">
        <w:rPr>
          <w:rFonts w:ascii="Arial" w:hAnsi="Arial" w:cs="Arial"/>
          <w:sz w:val="20"/>
          <w:szCs w:val="20"/>
        </w:rPr>
        <w:t xml:space="preserve"> </w:t>
      </w:r>
      <w:r w:rsidR="009821C6">
        <w:rPr>
          <w:rFonts w:ascii="Arial" w:hAnsi="Arial" w:cs="Arial"/>
          <w:sz w:val="20"/>
          <w:szCs w:val="20"/>
        </w:rPr>
        <w:t xml:space="preserve"> </w:t>
      </w:r>
      <w:r w:rsidR="00FD5849">
        <w:rPr>
          <w:rFonts w:ascii="Arial" w:hAnsi="Arial" w:cs="Arial"/>
          <w:sz w:val="20"/>
          <w:szCs w:val="20"/>
        </w:rPr>
        <w:t>Koncert začne v 19.00, vstupenky budou</w:t>
      </w:r>
      <w:bookmarkStart w:id="0" w:name="_GoBack"/>
      <w:bookmarkEnd w:id="0"/>
      <w:r w:rsidR="00FD5849">
        <w:rPr>
          <w:rFonts w:ascii="Arial" w:hAnsi="Arial" w:cs="Arial"/>
          <w:sz w:val="20"/>
          <w:szCs w:val="20"/>
        </w:rPr>
        <w:t xml:space="preserve"> v</w:t>
      </w:r>
      <w:r w:rsidR="009821C6">
        <w:rPr>
          <w:rFonts w:ascii="Arial" w:hAnsi="Arial" w:cs="Arial"/>
          <w:sz w:val="20"/>
          <w:szCs w:val="20"/>
        </w:rPr>
        <w:t> </w:t>
      </w:r>
      <w:r w:rsidR="00FD5849">
        <w:rPr>
          <w:rFonts w:ascii="Arial" w:hAnsi="Arial" w:cs="Arial"/>
          <w:sz w:val="20"/>
          <w:szCs w:val="20"/>
        </w:rPr>
        <w:t>prodeji</w:t>
      </w:r>
      <w:r w:rsidR="009821C6">
        <w:rPr>
          <w:rFonts w:ascii="Arial" w:hAnsi="Arial" w:cs="Arial"/>
          <w:sz w:val="20"/>
          <w:szCs w:val="20"/>
        </w:rPr>
        <w:t xml:space="preserve"> na místě</w:t>
      </w:r>
      <w:r w:rsidR="00FD5849">
        <w:rPr>
          <w:rFonts w:ascii="Arial" w:hAnsi="Arial" w:cs="Arial"/>
          <w:sz w:val="20"/>
          <w:szCs w:val="20"/>
        </w:rPr>
        <w:t xml:space="preserve"> hodinu před koncertem</w:t>
      </w:r>
      <w:r w:rsidR="009821C6">
        <w:rPr>
          <w:rFonts w:ascii="Arial" w:hAnsi="Arial" w:cs="Arial"/>
          <w:sz w:val="20"/>
          <w:szCs w:val="20"/>
        </w:rPr>
        <w:t>,</w:t>
      </w:r>
      <w:r w:rsidR="00FD5849">
        <w:rPr>
          <w:rFonts w:ascii="Arial" w:hAnsi="Arial" w:cs="Arial"/>
          <w:sz w:val="20"/>
          <w:szCs w:val="20"/>
        </w:rPr>
        <w:t xml:space="preserve"> od 18.00.</w:t>
      </w:r>
    </w:p>
    <w:p w:rsidR="00852FAA" w:rsidRDefault="00852FAA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81DF4" w:rsidRDefault="00F81DF4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pátku do neděle, vždy v odpoledních hodinách, budou hrát a předvádět svá čísla </w:t>
      </w:r>
      <w:r w:rsidR="00852FAA">
        <w:rPr>
          <w:rFonts w:ascii="Arial" w:hAnsi="Arial" w:cs="Arial"/>
          <w:sz w:val="20"/>
          <w:szCs w:val="20"/>
        </w:rPr>
        <w:t xml:space="preserve">flašinetáři z evropských zemí </w:t>
      </w:r>
      <w:r>
        <w:rPr>
          <w:rFonts w:ascii="Arial" w:hAnsi="Arial" w:cs="Arial"/>
          <w:sz w:val="20"/>
          <w:szCs w:val="20"/>
        </w:rPr>
        <w:t>v ulicích, uličkách a na náměst</w:t>
      </w:r>
      <w:r w:rsidR="00766F02">
        <w:rPr>
          <w:rFonts w:ascii="Arial" w:hAnsi="Arial" w:cs="Arial"/>
          <w:sz w:val="20"/>
          <w:szCs w:val="20"/>
        </w:rPr>
        <w:t>ích historického centra města. Jejich m</w:t>
      </w:r>
      <w:r>
        <w:rPr>
          <w:rFonts w:ascii="Arial" w:hAnsi="Arial" w:cs="Arial"/>
          <w:sz w:val="20"/>
          <w:szCs w:val="20"/>
        </w:rPr>
        <w:t xml:space="preserve">ezinárodní setkání </w:t>
      </w:r>
      <w:r w:rsidR="00766F02">
        <w:rPr>
          <w:rFonts w:ascii="Arial" w:hAnsi="Arial" w:cs="Arial"/>
          <w:sz w:val="20"/>
          <w:szCs w:val="20"/>
        </w:rPr>
        <w:t xml:space="preserve">v Brně </w:t>
      </w:r>
      <w:r>
        <w:rPr>
          <w:rFonts w:ascii="Arial" w:hAnsi="Arial" w:cs="Arial"/>
          <w:sz w:val="20"/>
          <w:szCs w:val="20"/>
        </w:rPr>
        <w:t>se</w:t>
      </w:r>
      <w:r w:rsidR="00766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letos koná po de</w:t>
      </w:r>
      <w:r w:rsidR="00852FAA">
        <w:rPr>
          <w:rFonts w:ascii="Arial" w:hAnsi="Arial" w:cs="Arial"/>
          <w:sz w:val="20"/>
          <w:szCs w:val="20"/>
        </w:rPr>
        <w:t xml:space="preserve">váté a již  </w:t>
      </w:r>
      <w:r>
        <w:rPr>
          <w:rFonts w:ascii="Arial" w:hAnsi="Arial" w:cs="Arial"/>
          <w:sz w:val="20"/>
          <w:szCs w:val="20"/>
        </w:rPr>
        <w:t xml:space="preserve">tradičně </w:t>
      </w:r>
      <w:r w:rsidR="00852FAA">
        <w:rPr>
          <w:rFonts w:ascii="Arial" w:hAnsi="Arial" w:cs="Arial"/>
          <w:sz w:val="20"/>
          <w:szCs w:val="20"/>
        </w:rPr>
        <w:t xml:space="preserve">věnují </w:t>
      </w:r>
      <w:r w:rsidR="00FD5849">
        <w:rPr>
          <w:rFonts w:ascii="Arial" w:hAnsi="Arial" w:cs="Arial"/>
          <w:sz w:val="20"/>
          <w:szCs w:val="20"/>
        </w:rPr>
        <w:t>závěrečný</w:t>
      </w:r>
      <w:r w:rsidR="00852FAA">
        <w:rPr>
          <w:rFonts w:ascii="Arial" w:hAnsi="Arial" w:cs="Arial"/>
          <w:sz w:val="20"/>
          <w:szCs w:val="20"/>
        </w:rPr>
        <w:t xml:space="preserve"> koncert a jeho výtěžek </w:t>
      </w:r>
      <w:r w:rsidR="00D10A87">
        <w:rPr>
          <w:rFonts w:ascii="Arial" w:hAnsi="Arial" w:cs="Arial"/>
          <w:sz w:val="20"/>
          <w:szCs w:val="20"/>
        </w:rPr>
        <w:br/>
      </w:r>
      <w:r w:rsidR="00766F02">
        <w:rPr>
          <w:rFonts w:ascii="Arial" w:hAnsi="Arial" w:cs="Arial"/>
          <w:sz w:val="20"/>
          <w:szCs w:val="20"/>
        </w:rPr>
        <w:t xml:space="preserve">na pomoc lidem s poruchami autistického spektra </w:t>
      </w:r>
      <w:r w:rsidR="00D10A87">
        <w:rPr>
          <w:rFonts w:ascii="Arial" w:hAnsi="Arial" w:cs="Arial"/>
          <w:sz w:val="20"/>
          <w:szCs w:val="20"/>
        </w:rPr>
        <w:t xml:space="preserve">– </w:t>
      </w:r>
      <w:r w:rsidR="00766F02">
        <w:rPr>
          <w:rFonts w:ascii="Arial" w:hAnsi="Arial" w:cs="Arial"/>
          <w:sz w:val="20"/>
          <w:szCs w:val="20"/>
        </w:rPr>
        <w:t xml:space="preserve">asociaci </w:t>
      </w:r>
      <w:proofErr w:type="spellStart"/>
      <w:proofErr w:type="gramStart"/>
      <w:r w:rsidR="00852FAA">
        <w:rPr>
          <w:rFonts w:ascii="Arial" w:hAnsi="Arial" w:cs="Arial"/>
          <w:sz w:val="20"/>
          <w:szCs w:val="20"/>
        </w:rPr>
        <w:t>Paspoint</w:t>
      </w:r>
      <w:proofErr w:type="spellEnd"/>
      <w:r w:rsidR="00852FAA">
        <w:rPr>
          <w:rFonts w:ascii="Arial" w:hAnsi="Arial" w:cs="Arial"/>
          <w:sz w:val="20"/>
          <w:szCs w:val="20"/>
        </w:rPr>
        <w:t xml:space="preserve">, z. </w:t>
      </w:r>
      <w:proofErr w:type="spellStart"/>
      <w:r w:rsidR="00852FAA">
        <w:rPr>
          <w:rFonts w:ascii="Arial" w:hAnsi="Arial" w:cs="Arial"/>
          <w:sz w:val="20"/>
          <w:szCs w:val="20"/>
        </w:rPr>
        <w:t>ú.</w:t>
      </w:r>
      <w:proofErr w:type="spellEnd"/>
      <w:proofErr w:type="gramEnd"/>
    </w:p>
    <w:p w:rsidR="00FD5849" w:rsidRDefault="00FD5849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5849" w:rsidRDefault="00FD5849" w:rsidP="00FD5849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ACC4995" wp14:editId="0A2FC674">
            <wp:extent cx="1247775" cy="431169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0732" cy="43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49" w:rsidRDefault="00FD5849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7C1B70" w:rsidRDefault="00852FAA" w:rsidP="00FD584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EB15EA">
        <w:rPr>
          <w:rFonts w:ascii="Arial" w:hAnsi="Arial" w:cs="Arial"/>
          <w:sz w:val="20"/>
          <w:szCs w:val="20"/>
        </w:rPr>
        <w:t xml:space="preserve">Porucha autistického spektra (PAS) je celoživotní </w:t>
      </w:r>
      <w:proofErr w:type="spellStart"/>
      <w:r w:rsidRPr="00EB15EA">
        <w:rPr>
          <w:rFonts w:ascii="Arial" w:hAnsi="Arial" w:cs="Arial"/>
          <w:sz w:val="20"/>
          <w:szCs w:val="20"/>
        </w:rPr>
        <w:t>neurovývojové</w:t>
      </w:r>
      <w:proofErr w:type="spellEnd"/>
      <w:r w:rsidRPr="00EB15EA">
        <w:rPr>
          <w:rFonts w:ascii="Arial" w:hAnsi="Arial" w:cs="Arial"/>
          <w:sz w:val="20"/>
          <w:szCs w:val="20"/>
        </w:rPr>
        <w:t xml:space="preserve"> postižení. Lidé s touto diagnózou nereagují vždy přiměřeně na běžné životní situace, protože nerozumí správně tomu, co vidí, slyší </w:t>
      </w:r>
      <w:r w:rsidR="00D10A87">
        <w:rPr>
          <w:rFonts w:ascii="Arial" w:hAnsi="Arial" w:cs="Arial"/>
          <w:sz w:val="20"/>
          <w:szCs w:val="20"/>
        </w:rPr>
        <w:br/>
      </w:r>
      <w:r w:rsidRPr="00EB15EA">
        <w:rPr>
          <w:rFonts w:ascii="Arial" w:hAnsi="Arial" w:cs="Arial"/>
          <w:sz w:val="20"/>
          <w:szCs w:val="20"/>
        </w:rPr>
        <w:t xml:space="preserve">a prožívají. Projevy autismu jsou rozmanité a </w:t>
      </w:r>
      <w:r w:rsidR="00766F02">
        <w:rPr>
          <w:rFonts w:ascii="Arial" w:hAnsi="Arial" w:cs="Arial"/>
          <w:sz w:val="20"/>
          <w:szCs w:val="20"/>
        </w:rPr>
        <w:t>neexistují dva jedinci</w:t>
      </w:r>
      <w:r w:rsidRPr="00EB15EA">
        <w:rPr>
          <w:rFonts w:ascii="Arial" w:hAnsi="Arial" w:cs="Arial"/>
          <w:sz w:val="20"/>
          <w:szCs w:val="20"/>
        </w:rPr>
        <w:t xml:space="preserve"> se </w:t>
      </w:r>
      <w:r w:rsidR="007C1B70">
        <w:rPr>
          <w:rFonts w:ascii="Arial" w:hAnsi="Arial" w:cs="Arial"/>
          <w:sz w:val="20"/>
          <w:szCs w:val="20"/>
        </w:rPr>
        <w:t>shodnými</w:t>
      </w:r>
      <w:r w:rsidRPr="00EB15EA">
        <w:rPr>
          <w:rFonts w:ascii="Arial" w:hAnsi="Arial" w:cs="Arial"/>
          <w:sz w:val="20"/>
          <w:szCs w:val="20"/>
        </w:rPr>
        <w:t xml:space="preserve"> projevy. I přes tuto rozmanitost se p</w:t>
      </w:r>
      <w:r w:rsidR="00766F02">
        <w:rPr>
          <w:rFonts w:ascii="Arial" w:hAnsi="Arial" w:cs="Arial"/>
          <w:sz w:val="20"/>
          <w:szCs w:val="20"/>
        </w:rPr>
        <w:t>ostižení projevuje především v oblastech: komunikace</w:t>
      </w:r>
      <w:r w:rsidR="007C1B70">
        <w:rPr>
          <w:rFonts w:ascii="Arial" w:hAnsi="Arial" w:cs="Arial"/>
          <w:sz w:val="20"/>
          <w:szCs w:val="20"/>
        </w:rPr>
        <w:t>, sociálního</w:t>
      </w:r>
      <w:r w:rsidRPr="00EB15EA">
        <w:rPr>
          <w:rFonts w:ascii="Arial" w:hAnsi="Arial" w:cs="Arial"/>
          <w:sz w:val="20"/>
          <w:szCs w:val="20"/>
        </w:rPr>
        <w:t xml:space="preserve"> chování a předs</w:t>
      </w:r>
      <w:r w:rsidR="003A1223" w:rsidRPr="00EB15EA">
        <w:rPr>
          <w:rFonts w:ascii="Arial" w:hAnsi="Arial" w:cs="Arial"/>
          <w:sz w:val="20"/>
          <w:szCs w:val="20"/>
        </w:rPr>
        <w:t>tavivosti</w:t>
      </w:r>
      <w:r w:rsidR="00FD5849">
        <w:rPr>
          <w:rFonts w:ascii="Arial" w:hAnsi="Arial" w:cs="Arial"/>
          <w:sz w:val="20"/>
          <w:szCs w:val="20"/>
        </w:rPr>
        <w:t>.</w:t>
      </w:r>
      <w:r w:rsidR="00FD5849" w:rsidRPr="00FD5849">
        <w:rPr>
          <w:rFonts w:ascii="Arial" w:hAnsi="Arial" w:cs="Arial"/>
          <w:sz w:val="20"/>
          <w:szCs w:val="20"/>
        </w:rPr>
        <w:t xml:space="preserve"> </w:t>
      </w:r>
    </w:p>
    <w:p w:rsidR="007C1B70" w:rsidRDefault="00FD5849" w:rsidP="00FD584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 w:rsidR="009821C6">
        <w:rPr>
          <w:rFonts w:ascii="Arial" w:hAnsi="Arial" w:cs="Arial"/>
          <w:sz w:val="20"/>
          <w:szCs w:val="20"/>
        </w:rPr>
        <w:t>Paspoint</w:t>
      </w:r>
      <w:proofErr w:type="spellEnd"/>
      <w:r w:rsidR="009821C6">
        <w:rPr>
          <w:rFonts w:ascii="Arial" w:hAnsi="Arial" w:cs="Arial"/>
          <w:sz w:val="20"/>
          <w:szCs w:val="20"/>
        </w:rPr>
        <w:t xml:space="preserve"> je nástupcem a</w:t>
      </w:r>
      <w:r w:rsidRPr="00FD5849">
        <w:rPr>
          <w:rFonts w:ascii="Arial" w:hAnsi="Arial" w:cs="Arial"/>
          <w:sz w:val="20"/>
          <w:szCs w:val="20"/>
        </w:rPr>
        <w:t>sociace pomáhající lidem s autismem APLA JM, která vznikla v roce 2002 </w:t>
      </w:r>
      <w:r w:rsidR="00D10A87">
        <w:rPr>
          <w:rFonts w:ascii="Arial" w:hAnsi="Arial" w:cs="Arial"/>
          <w:sz w:val="20"/>
          <w:szCs w:val="20"/>
        </w:rPr>
        <w:br/>
      </w:r>
      <w:r w:rsidRPr="00FD5849">
        <w:rPr>
          <w:rFonts w:ascii="Arial" w:hAnsi="Arial" w:cs="Arial"/>
          <w:sz w:val="20"/>
          <w:szCs w:val="20"/>
        </w:rPr>
        <w:t>z iniciativy rodičů a odborníků</w:t>
      </w:r>
      <w:r>
        <w:rPr>
          <w:rFonts w:ascii="Arial" w:hAnsi="Arial" w:cs="Arial"/>
          <w:sz w:val="20"/>
          <w:szCs w:val="20"/>
        </w:rPr>
        <w:t xml:space="preserve">. Je součástí </w:t>
      </w:r>
      <w:r w:rsidRPr="00FD5849">
        <w:rPr>
          <w:rFonts w:ascii="Arial" w:hAnsi="Arial" w:cs="Arial"/>
          <w:sz w:val="20"/>
          <w:szCs w:val="20"/>
        </w:rPr>
        <w:t>celostátní organizace</w:t>
      </w:r>
      <w:r w:rsidR="007C1B70">
        <w:rPr>
          <w:rFonts w:ascii="Arial" w:hAnsi="Arial" w:cs="Arial"/>
          <w:sz w:val="20"/>
          <w:szCs w:val="20"/>
        </w:rPr>
        <w:t xml:space="preserve"> APLA a působnost </w:t>
      </w:r>
      <w:proofErr w:type="gramStart"/>
      <w:r w:rsidR="007C1B70">
        <w:rPr>
          <w:rFonts w:ascii="Arial" w:hAnsi="Arial" w:cs="Arial"/>
          <w:sz w:val="20"/>
          <w:szCs w:val="20"/>
        </w:rPr>
        <w:t xml:space="preserve">má </w:t>
      </w:r>
      <w:r w:rsidR="00D10A87">
        <w:rPr>
          <w:rFonts w:ascii="Arial" w:hAnsi="Arial" w:cs="Arial"/>
          <w:sz w:val="20"/>
          <w:szCs w:val="20"/>
        </w:rPr>
        <w:br/>
      </w:r>
      <w:r w:rsidR="007C1B70">
        <w:rPr>
          <w:rFonts w:ascii="Arial" w:hAnsi="Arial" w:cs="Arial"/>
          <w:sz w:val="20"/>
          <w:szCs w:val="20"/>
        </w:rPr>
        <w:t xml:space="preserve">v </w:t>
      </w:r>
      <w:r w:rsidRPr="00FD5849">
        <w:rPr>
          <w:rFonts w:ascii="Arial" w:hAnsi="Arial" w:cs="Arial"/>
          <w:sz w:val="20"/>
          <w:szCs w:val="20"/>
        </w:rPr>
        <w:t xml:space="preserve"> </w:t>
      </w:r>
      <w:r w:rsidR="007C1B70">
        <w:rPr>
          <w:rFonts w:ascii="Arial" w:hAnsi="Arial" w:cs="Arial"/>
          <w:sz w:val="20"/>
          <w:szCs w:val="20"/>
        </w:rPr>
        <w:t>Jihomoravském</w:t>
      </w:r>
      <w:proofErr w:type="gramEnd"/>
      <w:r w:rsidRPr="00FD5849">
        <w:rPr>
          <w:rFonts w:ascii="Arial" w:hAnsi="Arial" w:cs="Arial"/>
          <w:sz w:val="20"/>
          <w:szCs w:val="20"/>
        </w:rPr>
        <w:t xml:space="preserve"> kraj</w:t>
      </w:r>
      <w:r w:rsidR="007C1B70">
        <w:rPr>
          <w:rFonts w:ascii="Arial" w:hAnsi="Arial" w:cs="Arial"/>
          <w:sz w:val="20"/>
          <w:szCs w:val="20"/>
        </w:rPr>
        <w:t>i</w:t>
      </w:r>
      <w:r w:rsidRPr="00FD5849">
        <w:rPr>
          <w:rFonts w:ascii="Arial" w:hAnsi="Arial" w:cs="Arial"/>
          <w:sz w:val="20"/>
          <w:szCs w:val="20"/>
        </w:rPr>
        <w:t>.</w:t>
      </w:r>
      <w:r w:rsidR="007C1B70">
        <w:rPr>
          <w:rFonts w:ascii="Arial" w:hAnsi="Arial" w:cs="Arial"/>
          <w:sz w:val="20"/>
          <w:szCs w:val="20"/>
        </w:rPr>
        <w:t xml:space="preserve"> </w:t>
      </w:r>
      <w:r w:rsidRPr="00FD5849">
        <w:rPr>
          <w:rFonts w:ascii="Arial" w:hAnsi="Arial" w:cs="Arial"/>
          <w:sz w:val="20"/>
          <w:szCs w:val="20"/>
        </w:rPr>
        <w:t>Veškeré aktivity organizace vycházejí z obecného cíl</w:t>
      </w:r>
      <w:r>
        <w:rPr>
          <w:rFonts w:ascii="Arial" w:hAnsi="Arial" w:cs="Arial"/>
          <w:sz w:val="20"/>
          <w:szCs w:val="20"/>
        </w:rPr>
        <w:t>e zkvalitnit život</w:t>
      </w:r>
      <w:r w:rsidR="009821C6">
        <w:rPr>
          <w:rFonts w:ascii="Arial" w:hAnsi="Arial" w:cs="Arial"/>
          <w:sz w:val="20"/>
          <w:szCs w:val="20"/>
        </w:rPr>
        <w:t xml:space="preserve"> těmto</w:t>
      </w:r>
      <w:r>
        <w:rPr>
          <w:rFonts w:ascii="Arial" w:hAnsi="Arial" w:cs="Arial"/>
          <w:sz w:val="20"/>
          <w:szCs w:val="20"/>
        </w:rPr>
        <w:t xml:space="preserve"> lidem </w:t>
      </w:r>
      <w:r w:rsidR="009821C6">
        <w:rPr>
          <w:rFonts w:ascii="Arial" w:hAnsi="Arial" w:cs="Arial"/>
          <w:sz w:val="20"/>
          <w:szCs w:val="20"/>
        </w:rPr>
        <w:t>a poskytovat jim</w:t>
      </w:r>
      <w:r>
        <w:rPr>
          <w:rFonts w:ascii="Arial" w:hAnsi="Arial" w:cs="Arial"/>
          <w:sz w:val="20"/>
          <w:szCs w:val="20"/>
        </w:rPr>
        <w:t xml:space="preserve"> </w:t>
      </w:r>
      <w:r w:rsidRPr="00FD5849">
        <w:rPr>
          <w:rFonts w:ascii="Arial" w:hAnsi="Arial" w:cs="Arial"/>
          <w:sz w:val="20"/>
          <w:szCs w:val="20"/>
        </w:rPr>
        <w:t>systematickou a komplexní profe</w:t>
      </w:r>
      <w:r w:rsidR="009821C6">
        <w:rPr>
          <w:rFonts w:ascii="Arial" w:hAnsi="Arial" w:cs="Arial"/>
          <w:sz w:val="20"/>
          <w:szCs w:val="20"/>
        </w:rPr>
        <w:t>sionální pomoc.</w:t>
      </w:r>
    </w:p>
    <w:p w:rsidR="00D10A87" w:rsidRPr="00D10A87" w:rsidRDefault="00D10A87" w:rsidP="00FD5849">
      <w:pPr>
        <w:pStyle w:val="Bezmezer"/>
        <w:spacing w:line="276" w:lineRule="auto"/>
        <w:rPr>
          <w:rFonts w:ascii="Arial" w:hAnsi="Arial" w:cs="Arial"/>
          <w:sz w:val="16"/>
          <w:szCs w:val="16"/>
        </w:rPr>
      </w:pPr>
    </w:p>
    <w:p w:rsidR="00852FAA" w:rsidRDefault="00766F02" w:rsidP="00FD584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Malé ohlédnutí za prací </w:t>
      </w:r>
      <w:proofErr w:type="spellStart"/>
      <w:r>
        <w:rPr>
          <w:rFonts w:ascii="Arial" w:hAnsi="Arial" w:cs="Arial"/>
          <w:sz w:val="20"/>
          <w:szCs w:val="20"/>
        </w:rPr>
        <w:t>PASPOINTu</w:t>
      </w:r>
      <w:proofErr w:type="spellEnd"/>
      <w:r>
        <w:rPr>
          <w:rFonts w:ascii="Arial" w:hAnsi="Arial" w:cs="Arial"/>
          <w:sz w:val="20"/>
          <w:szCs w:val="20"/>
        </w:rPr>
        <w:t xml:space="preserve"> v loňském roce</w:t>
      </w:r>
      <w:r w:rsidR="007C1B70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66F02" w:rsidRDefault="00766F02" w:rsidP="00FD584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poradenského centra pro rodiny s dětmi poskytla asociace podporu celkem 122 rodinám. </w:t>
      </w:r>
      <w:r w:rsidR="007C1B70">
        <w:rPr>
          <w:rFonts w:ascii="Arial" w:hAnsi="Arial" w:cs="Arial"/>
          <w:sz w:val="20"/>
          <w:szCs w:val="20"/>
        </w:rPr>
        <w:t xml:space="preserve">Kolem 600 výjezdů učinili jeho pracovníci ve službách rané péče. Osobní asistenci využilo 78 klientů, zajistilo ji 50 osobních asistentů. Ve volnočasových aktivitách realizoval </w:t>
      </w:r>
      <w:proofErr w:type="spellStart"/>
      <w:r w:rsidR="009821C6">
        <w:rPr>
          <w:rFonts w:ascii="Arial" w:hAnsi="Arial" w:cs="Arial"/>
          <w:sz w:val="20"/>
          <w:szCs w:val="20"/>
        </w:rPr>
        <w:t>Paspoint</w:t>
      </w:r>
      <w:proofErr w:type="spellEnd"/>
      <w:r w:rsidR="007C1B70">
        <w:rPr>
          <w:rFonts w:ascii="Arial" w:hAnsi="Arial" w:cs="Arial"/>
          <w:sz w:val="20"/>
          <w:szCs w:val="20"/>
        </w:rPr>
        <w:t xml:space="preserve"> 8 zájmových kroužků, 8 sobotních výletů, 2 letní pobytové tábory, 2 letní aktivity a přírodovědný týden plný aktivit v </w:t>
      </w:r>
      <w:proofErr w:type="spellStart"/>
      <w:r w:rsidR="007C1B70">
        <w:rPr>
          <w:rFonts w:ascii="Arial" w:hAnsi="Arial" w:cs="Arial"/>
          <w:sz w:val="20"/>
          <w:szCs w:val="20"/>
        </w:rPr>
        <w:t>Lamacentru</w:t>
      </w:r>
      <w:proofErr w:type="spellEnd"/>
      <w:r w:rsidR="007C1B70">
        <w:rPr>
          <w:rFonts w:ascii="Arial" w:hAnsi="Arial" w:cs="Arial"/>
          <w:sz w:val="20"/>
          <w:szCs w:val="20"/>
        </w:rPr>
        <w:t>. V roce 2017 jim při realizaci volnočasových aktivit a osvětových akcí pomohlo 45 dobrovolníků. (Jedná se pouze o vybrané údaje)</w:t>
      </w:r>
      <w:r w:rsidR="009821C6">
        <w:rPr>
          <w:rFonts w:ascii="Arial" w:hAnsi="Arial" w:cs="Arial"/>
          <w:sz w:val="20"/>
          <w:szCs w:val="20"/>
        </w:rPr>
        <w:t>. Více informací</w:t>
      </w:r>
      <w:r w:rsidR="007C1B70">
        <w:rPr>
          <w:rFonts w:ascii="Arial" w:hAnsi="Arial" w:cs="Arial"/>
          <w:sz w:val="20"/>
          <w:szCs w:val="20"/>
        </w:rPr>
        <w:t xml:space="preserve"> na ( </w:t>
      </w:r>
      <w:hyperlink r:id="rId8" w:history="1">
        <w:r w:rsidR="007C1B70" w:rsidRPr="00987544">
          <w:rPr>
            <w:rStyle w:val="Hypertextovodkaz"/>
            <w:rFonts w:ascii="Arial" w:hAnsi="Arial" w:cs="Arial"/>
            <w:sz w:val="20"/>
            <w:szCs w:val="20"/>
          </w:rPr>
          <w:t>https://www.paspoint.cz/</w:t>
        </w:r>
      </w:hyperlink>
      <w:r w:rsidR="007C1B70">
        <w:rPr>
          <w:rFonts w:ascii="Arial" w:hAnsi="Arial" w:cs="Arial"/>
          <w:sz w:val="20"/>
          <w:szCs w:val="20"/>
        </w:rPr>
        <w:t>)</w:t>
      </w:r>
      <w:r w:rsidR="007C1B70" w:rsidRPr="00EB15EA">
        <w:rPr>
          <w:rFonts w:ascii="Arial" w:hAnsi="Arial" w:cs="Arial"/>
          <w:sz w:val="20"/>
          <w:szCs w:val="20"/>
        </w:rPr>
        <w:t>.</w:t>
      </w:r>
    </w:p>
    <w:p w:rsidR="00766F02" w:rsidRDefault="00766F02" w:rsidP="00FD584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20959" w:rsidRDefault="00820959" w:rsidP="009821C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pro média:</w:t>
      </w:r>
    </w:p>
    <w:p w:rsidR="00820959" w:rsidRPr="009821C6" w:rsidRDefault="00820959" w:rsidP="009821C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821C6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Pr="009821C6">
        <w:rPr>
          <w:rFonts w:ascii="Arial" w:hAnsi="Arial" w:cs="Arial"/>
          <w:sz w:val="20"/>
          <w:szCs w:val="20"/>
        </w:rPr>
        <w:t>Nekuža</w:t>
      </w:r>
      <w:proofErr w:type="spellEnd"/>
      <w:r w:rsidRPr="009821C6">
        <w:rPr>
          <w:rFonts w:ascii="Arial" w:hAnsi="Arial" w:cs="Arial"/>
          <w:sz w:val="20"/>
          <w:szCs w:val="20"/>
        </w:rPr>
        <w:t xml:space="preserve"> | organizátor akce </w:t>
      </w:r>
      <w:r w:rsidRPr="009821C6">
        <w:rPr>
          <w:rFonts w:ascii="Arial" w:hAnsi="Arial" w:cs="Arial"/>
          <w:sz w:val="20"/>
          <w:szCs w:val="20"/>
        </w:rPr>
        <w:tab/>
      </w:r>
      <w:r w:rsidRPr="009821C6">
        <w:rPr>
          <w:rFonts w:ascii="Arial" w:hAnsi="Arial" w:cs="Arial"/>
          <w:sz w:val="20"/>
          <w:szCs w:val="20"/>
        </w:rPr>
        <w:tab/>
      </w:r>
      <w:r w:rsidRPr="009821C6">
        <w:rPr>
          <w:rFonts w:ascii="Arial" w:hAnsi="Arial" w:cs="Arial"/>
          <w:sz w:val="20"/>
          <w:szCs w:val="20"/>
        </w:rPr>
        <w:tab/>
      </w:r>
      <w:r w:rsidRPr="009821C6">
        <w:rPr>
          <w:rFonts w:ascii="Arial" w:hAnsi="Arial" w:cs="Arial"/>
          <w:sz w:val="20"/>
          <w:szCs w:val="20"/>
        </w:rPr>
        <w:tab/>
      </w:r>
    </w:p>
    <w:p w:rsidR="00820959" w:rsidRPr="009821C6" w:rsidRDefault="00820959" w:rsidP="009821C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9821C6">
        <w:rPr>
          <w:rFonts w:ascii="Arial" w:hAnsi="Arial" w:cs="Arial"/>
          <w:sz w:val="20"/>
          <w:szCs w:val="20"/>
        </w:rPr>
        <w:t xml:space="preserve">vedoucí Kruhu přátel TMB - flašinety a mechanické stroje        </w:t>
      </w:r>
      <w:r w:rsidRPr="009821C6">
        <w:rPr>
          <w:rFonts w:ascii="Arial" w:hAnsi="Arial" w:cs="Arial"/>
          <w:sz w:val="20"/>
          <w:szCs w:val="20"/>
        </w:rPr>
        <w:tab/>
      </w:r>
      <w:r w:rsidRPr="009821C6">
        <w:rPr>
          <w:rFonts w:ascii="Arial" w:hAnsi="Arial" w:cs="Arial"/>
          <w:sz w:val="20"/>
          <w:szCs w:val="20"/>
        </w:rPr>
        <w:br/>
        <w:t xml:space="preserve">kurátor sbírky TMB Mechanické stroje </w:t>
      </w:r>
      <w:r w:rsidRPr="009821C6">
        <w:rPr>
          <w:rFonts w:ascii="Arial" w:hAnsi="Arial" w:cs="Arial"/>
          <w:sz w:val="20"/>
          <w:szCs w:val="20"/>
        </w:rPr>
        <w:br/>
        <w:t>nekuza@tmbrno.cz |+420 724 222 795</w:t>
      </w:r>
    </w:p>
    <w:p w:rsidR="00820959" w:rsidRDefault="00820959" w:rsidP="00820959">
      <w:pPr>
        <w:pStyle w:val="Zpa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D10A87" w:rsidRDefault="00D10A87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D10A87" w:rsidRDefault="00D10A87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20959" w:rsidRDefault="00820959" w:rsidP="00820959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mezinárodní setkání flašinetářů pořádá Technické muzeum v Brně s podporou Ministerstva kultury České republiky. Akce je součástí festivalu Maraton hudby Brno.</w:t>
      </w:r>
    </w:p>
    <w:p w:rsidR="00820959" w:rsidRDefault="00820959" w:rsidP="00820959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160A6" w:rsidRDefault="00E160A6"/>
    <w:sectPr w:rsidR="00E160A6" w:rsidSect="009821C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1D4"/>
    <w:multiLevelType w:val="hybridMultilevel"/>
    <w:tmpl w:val="5718B4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59"/>
    <w:rsid w:val="003A1223"/>
    <w:rsid w:val="005177B4"/>
    <w:rsid w:val="005A06C3"/>
    <w:rsid w:val="0061674D"/>
    <w:rsid w:val="006E2E93"/>
    <w:rsid w:val="00766F02"/>
    <w:rsid w:val="00790F67"/>
    <w:rsid w:val="007C1B70"/>
    <w:rsid w:val="00820959"/>
    <w:rsid w:val="00852FAA"/>
    <w:rsid w:val="009821C6"/>
    <w:rsid w:val="00D10A87"/>
    <w:rsid w:val="00D8623B"/>
    <w:rsid w:val="00E160A6"/>
    <w:rsid w:val="00EB15EA"/>
    <w:rsid w:val="00F633AE"/>
    <w:rsid w:val="00F81DF4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59"/>
  </w:style>
  <w:style w:type="paragraph" w:styleId="Nadpis1">
    <w:name w:val="heading 1"/>
    <w:basedOn w:val="Normln"/>
    <w:next w:val="Normln"/>
    <w:link w:val="Nadpis1Char"/>
    <w:uiPriority w:val="9"/>
    <w:qFormat/>
    <w:rsid w:val="0082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1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pat">
    <w:name w:val="footer"/>
    <w:basedOn w:val="Normln"/>
    <w:link w:val="ZpatChar"/>
    <w:semiHidden/>
    <w:unhideWhenUsed/>
    <w:rsid w:val="008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820959"/>
  </w:style>
  <w:style w:type="paragraph" w:styleId="Bezmezer">
    <w:name w:val="No Spacing"/>
    <w:uiPriority w:val="1"/>
    <w:qFormat/>
    <w:rsid w:val="0082095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5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E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8623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1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B15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59"/>
  </w:style>
  <w:style w:type="paragraph" w:styleId="Nadpis1">
    <w:name w:val="heading 1"/>
    <w:basedOn w:val="Normln"/>
    <w:next w:val="Normln"/>
    <w:link w:val="Nadpis1Char"/>
    <w:uiPriority w:val="9"/>
    <w:qFormat/>
    <w:rsid w:val="0082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1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pat">
    <w:name w:val="footer"/>
    <w:basedOn w:val="Normln"/>
    <w:link w:val="ZpatChar"/>
    <w:semiHidden/>
    <w:unhideWhenUsed/>
    <w:rsid w:val="0082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820959"/>
  </w:style>
  <w:style w:type="paragraph" w:styleId="Bezmezer">
    <w:name w:val="No Spacing"/>
    <w:uiPriority w:val="1"/>
    <w:qFormat/>
    <w:rsid w:val="0082095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5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E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8623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1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B15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point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dcterms:created xsi:type="dcterms:W3CDTF">2018-08-15T10:52:00Z</dcterms:created>
  <dcterms:modified xsi:type="dcterms:W3CDTF">2018-08-15T10:52:00Z</dcterms:modified>
</cp:coreProperties>
</file>